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附件三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经济管理学院研究生思想道德素质综合表现评价计算办法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综合表现是指研究生在日常学习生活中德、智、体、美、劳等方面全面发展，考察研究生在思想品质、道德修养、集体主义观念、文体活动、学生工作等方面的情况。硕士生综合表现总分为10分，分为日常表现、学科竞赛及文体竞赛、学生工作服务及贡献三个方面，具体记分办法如下。</w:t>
      </w:r>
    </w:p>
    <w:p>
      <w:pPr>
        <w:spacing w:beforeLines="50" w:afterLines="50" w:line="360" w:lineRule="auto"/>
        <w:ind w:right="-78" w:rightChars="-37"/>
        <w:rPr>
          <w:rFonts w:hint="eastAsia" w:eastAsia="微软雅黑"/>
          <w:bCs/>
          <w:sz w:val="24"/>
        </w:rPr>
      </w:pPr>
      <w:r>
        <w:rPr>
          <w:rFonts w:hint="eastAsia" w:eastAsia="微软雅黑"/>
          <w:bCs/>
          <w:sz w:val="24"/>
        </w:rPr>
        <w:t>一、硕士生日常表现（3分）</w:t>
      </w:r>
    </w:p>
    <w:p>
      <w:pPr>
        <w:spacing w:line="360" w:lineRule="auto"/>
        <w:ind w:firstLine="436"/>
        <w:rPr>
          <w:sz w:val="24"/>
        </w:rPr>
      </w:pPr>
      <w:r>
        <w:rPr>
          <w:rFonts w:hint="eastAsia"/>
          <w:sz w:val="24"/>
        </w:rPr>
        <w:t>研究生日常表现总分3分，主要包括以下几个方面：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坚持四项基本原则，拥护党的路线、方针、政策，积极参加政治理论学习，不断提高思想觉悟，自觉遵守国家法律和学校学院规章制度，有良好的道德品质；（0.6分）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有较强的集体主义观念，积极参与硕士生学术交流活动及参加学术讲座，积极参加学校、学院、班级组织的各种集体活动；（0.6分）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有较高的道德修养，团结同学、尊敬师长、热爱劳动、文明礼貌，有较好的师生关系和同学关系；（0.6分）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学习目的明确，态度端正，遵守课堂纪律和考试纪律，有良好的学术道德；（0.6分）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积极参加体育锻炼和各种文体活动，具有良好的心理品质和健全的人格。（0.6分）</w:t>
      </w:r>
    </w:p>
    <w:p>
      <w:pPr>
        <w:spacing w:line="360" w:lineRule="auto"/>
        <w:ind w:left="435" w:leftChars="207"/>
        <w:rPr>
          <w:sz w:val="24"/>
        </w:rPr>
      </w:pPr>
      <w:r>
        <w:rPr>
          <w:rFonts w:hint="eastAsia"/>
          <w:sz w:val="24"/>
        </w:rPr>
        <w:t>评定方法：由班委和班级同学代表组成评定小组，对除班委之外的同学进行分值评定，班委的表现分值由班长和辅导员共同评定。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依据《西南交通大学学生公寓管理规定》，公寓严禁使用电炉等违规电热设备。故为了确保学生居住环境的安全，凡入住我校学生公</w:t>
      </w:r>
      <w:r>
        <w:rPr>
          <w:rFonts w:hint="eastAsia"/>
          <w:color w:val="auto"/>
          <w:sz w:val="24"/>
        </w:rPr>
        <w:t>寓的学生，若在检查中发现使用违章电器（西南交通大学公寓管理中心定义的），给予全寝室同学每人日常</w:t>
      </w:r>
      <w:r>
        <w:rPr>
          <w:rFonts w:hint="eastAsia"/>
          <w:sz w:val="24"/>
        </w:rPr>
        <w:t>表现成绩扣除0.6分/次，若情境严重并出现了恶果，则依据相关政策给予处罚甚至追究其法律责任。在查处前及时实名书面举报寝室其他同学使用违章电器者可以免责，不予以扣分。</w:t>
      </w:r>
    </w:p>
    <w:p>
      <w:pPr>
        <w:spacing w:line="24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  <w:lang w:val="en-US" w:eastAsia="zh-CN"/>
        </w:rPr>
        <w:t xml:space="preserve">1. </w:t>
      </w:r>
      <w:r>
        <w:rPr>
          <w:rFonts w:hint="eastAsia"/>
          <w:szCs w:val="21"/>
        </w:rPr>
        <w:t>若</w:t>
      </w:r>
      <w:r>
        <w:rPr>
          <w:rFonts w:hint="eastAsia"/>
          <w:szCs w:val="21"/>
          <w:lang w:eastAsia="zh-CN"/>
        </w:rPr>
        <w:t>硕士</w:t>
      </w:r>
      <w:r>
        <w:rPr>
          <w:rFonts w:hint="eastAsia"/>
          <w:szCs w:val="21"/>
        </w:rPr>
        <w:t>研究生日常表现</w:t>
      </w:r>
      <w:bookmarkStart w:id="0" w:name="_GoBack"/>
      <w:bookmarkEnd w:id="0"/>
      <w:r>
        <w:rPr>
          <w:rFonts w:hint="eastAsia"/>
          <w:szCs w:val="21"/>
        </w:rPr>
        <w:t>成绩低于1.8分（不含1.8分），取消评奖评优资格。</w:t>
      </w:r>
    </w:p>
    <w:p>
      <w:pPr>
        <w:numPr>
          <w:ilvl w:val="0"/>
          <w:numId w:val="2"/>
        </w:numPr>
        <w:spacing w:line="24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研究生评学业奖学金所用的日常表现得分，根据辅导员老师和班委对每位同学的实际记录给予最终得分。</w:t>
      </w:r>
    </w:p>
    <w:p>
      <w:pPr>
        <w:numPr>
          <w:ilvl w:val="0"/>
          <w:numId w:val="2"/>
        </w:num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Cs w:val="21"/>
        </w:rPr>
        <w:t>研究生班级体获得校先进或优秀班级体以及其他重大集体性奖励，可就实际情况给予适当加分鼓励。</w:t>
      </w:r>
    </w:p>
    <w:p>
      <w:pPr>
        <w:numPr>
          <w:ilvl w:val="0"/>
          <w:numId w:val="2"/>
        </w:num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在评奖学年度内受学校、学院通报批评及以上处分的硕士生综合表现得分记零分。</w:t>
      </w:r>
    </w:p>
    <w:p>
      <w:pPr>
        <w:numPr>
          <w:ilvl w:val="0"/>
          <w:numId w:val="2"/>
        </w:numPr>
        <w:spacing w:line="240" w:lineRule="auto"/>
        <w:ind w:firstLine="420" w:firstLineChars="200"/>
        <w:rPr>
          <w:rFonts w:hint="eastAsia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对于表现突出，为学院赢得荣誉或积极的社会影响的研究生，可由本人提供证明材料，经学院奖学金评定委员会认定，其思想道德素质综合表现评价可在上述评价基础上，给予一定的附加分值。</w:t>
      </w:r>
    </w:p>
    <w:p>
      <w:pPr>
        <w:spacing w:beforeLines="50" w:afterLines="50" w:line="360" w:lineRule="auto"/>
        <w:ind w:right="-78" w:rightChars="-37"/>
        <w:rPr>
          <w:rFonts w:hint="eastAsia" w:eastAsia="微软雅黑"/>
          <w:bCs/>
          <w:sz w:val="24"/>
        </w:rPr>
      </w:pPr>
      <w:r>
        <w:rPr>
          <w:rFonts w:hint="eastAsia" w:eastAsia="微软雅黑"/>
          <w:bCs/>
          <w:sz w:val="24"/>
        </w:rPr>
        <w:t>二、科技文体竞赛成绩（3分）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评定办法：参评的学科竞赛、文艺体育竞赛仅限于由校、院组织参与或通过校、院推荐、认可的竞赛</w:t>
      </w:r>
      <w:r>
        <w:rPr>
          <w:rFonts w:hint="eastAsia"/>
          <w:color w:val="auto"/>
          <w:sz w:val="24"/>
        </w:rPr>
        <w:t>项目。学科竞赛、文艺体育竞赛等加</w:t>
      </w:r>
      <w:r>
        <w:rPr>
          <w:rFonts w:hint="eastAsia"/>
          <w:sz w:val="24"/>
        </w:rPr>
        <w:t>分细则如下：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03" w:type="dxa"/>
            <w:vMerge w:val="restart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级别</w:t>
            </w:r>
          </w:p>
        </w:tc>
        <w:tc>
          <w:tcPr>
            <w:tcW w:w="6819" w:type="dxa"/>
            <w:gridSpan w:val="4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03" w:type="dxa"/>
            <w:vMerge w:val="continue"/>
          </w:tcPr>
          <w:p>
            <w:pPr>
              <w:spacing w:line="380" w:lineRule="atLeast"/>
              <w:jc w:val="center"/>
              <w:rPr>
                <w:szCs w:val="21"/>
              </w:rPr>
            </w:pPr>
          </w:p>
        </w:tc>
        <w:tc>
          <w:tcPr>
            <w:tcW w:w="1704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1705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  <w:tc>
          <w:tcPr>
            <w:tcW w:w="1705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  <w:tc>
          <w:tcPr>
            <w:tcW w:w="1705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704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05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2.6</w:t>
            </w:r>
          </w:p>
        </w:tc>
        <w:tc>
          <w:tcPr>
            <w:tcW w:w="1705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05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704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2.4</w:t>
            </w:r>
          </w:p>
        </w:tc>
        <w:tc>
          <w:tcPr>
            <w:tcW w:w="1705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1.92</w:t>
            </w:r>
          </w:p>
        </w:tc>
        <w:tc>
          <w:tcPr>
            <w:tcW w:w="1705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1.44</w:t>
            </w:r>
          </w:p>
        </w:tc>
        <w:tc>
          <w:tcPr>
            <w:tcW w:w="1705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704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1.44</w:t>
            </w:r>
          </w:p>
        </w:tc>
        <w:tc>
          <w:tcPr>
            <w:tcW w:w="1705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0.84</w:t>
            </w:r>
          </w:p>
        </w:tc>
        <w:tc>
          <w:tcPr>
            <w:tcW w:w="1705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0.66</w:t>
            </w:r>
          </w:p>
        </w:tc>
        <w:tc>
          <w:tcPr>
            <w:tcW w:w="1705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学院级</w:t>
            </w:r>
          </w:p>
        </w:tc>
        <w:tc>
          <w:tcPr>
            <w:tcW w:w="1704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0.6</w:t>
            </w:r>
          </w:p>
        </w:tc>
        <w:tc>
          <w:tcPr>
            <w:tcW w:w="1705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0.48</w:t>
            </w:r>
          </w:p>
        </w:tc>
        <w:tc>
          <w:tcPr>
            <w:tcW w:w="1705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0.36</w:t>
            </w:r>
          </w:p>
        </w:tc>
        <w:tc>
          <w:tcPr>
            <w:tcW w:w="1705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院级学术刊物</w:t>
            </w:r>
          </w:p>
        </w:tc>
        <w:tc>
          <w:tcPr>
            <w:tcW w:w="6819" w:type="dxa"/>
            <w:gridSpan w:val="4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0.4/篇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注：该部分累加不超过3分，获国家级一等奖者不超过4分；同一竞赛项目或作品只取最高级别奖项；院级学术刊物指《经管前沿》，加分限第一作者。</w:t>
      </w:r>
    </w:p>
    <w:p>
      <w:pPr>
        <w:spacing w:beforeLines="50" w:afterLines="50" w:line="360" w:lineRule="auto"/>
        <w:ind w:right="-78" w:rightChars="-37"/>
        <w:rPr>
          <w:rFonts w:hint="eastAsia" w:eastAsia="微软雅黑"/>
          <w:bCs/>
          <w:sz w:val="24"/>
        </w:rPr>
      </w:pPr>
      <w:r>
        <w:rPr>
          <w:rFonts w:hint="eastAsia" w:eastAsia="微软雅黑"/>
          <w:bCs/>
          <w:sz w:val="24"/>
        </w:rPr>
        <w:t>三、社会工作情况（4分）</w:t>
      </w:r>
    </w:p>
    <w:p>
      <w:pPr>
        <w:spacing w:line="360" w:lineRule="auto"/>
        <w:ind w:firstLine="434" w:firstLineChars="181"/>
        <w:rPr>
          <w:sz w:val="24"/>
        </w:rPr>
      </w:pPr>
      <w:r>
        <w:rPr>
          <w:rFonts w:hint="eastAsia" w:ascii="宋体" w:hAnsi="宋体"/>
          <w:bCs/>
          <w:sz w:val="24"/>
        </w:rPr>
        <w:t>学生社会工作情况</w:t>
      </w:r>
      <w:r>
        <w:rPr>
          <w:rFonts w:hint="eastAsia"/>
          <w:sz w:val="24"/>
        </w:rPr>
        <w:t>，即学生工作服务及贡献总分4分，主要包括：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color w:val="auto"/>
          <w:sz w:val="24"/>
        </w:rPr>
        <w:t>参与由学校、学院统一组织的志愿者服务等社会实</w:t>
      </w:r>
      <w:r>
        <w:rPr>
          <w:rFonts w:hint="eastAsia"/>
          <w:color w:val="000000"/>
          <w:sz w:val="24"/>
        </w:rPr>
        <w:t>践情况；参与及指导本学院学生参加各级竞赛活动的情况；（0.5分）</w:t>
      </w:r>
    </w:p>
    <w:p>
      <w:pPr>
        <w:spacing w:line="360" w:lineRule="auto"/>
        <w:ind w:left="-76" w:leftChars="-36" w:firstLine="480" w:firstLineChars="200"/>
        <w:rPr>
          <w:sz w:val="24"/>
        </w:rPr>
      </w:pPr>
      <w:r>
        <w:rPr>
          <w:rFonts w:hint="eastAsia"/>
          <w:sz w:val="24"/>
        </w:rPr>
        <w:t>评定办法：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260"/>
        <w:gridCol w:w="288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68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社会实践</w:t>
            </w:r>
          </w:p>
        </w:tc>
        <w:tc>
          <w:tcPr>
            <w:tcW w:w="1260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省级表彰</w:t>
            </w:r>
          </w:p>
        </w:tc>
        <w:tc>
          <w:tcPr>
            <w:tcW w:w="1260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市级表彰</w:t>
            </w:r>
          </w:p>
        </w:tc>
        <w:tc>
          <w:tcPr>
            <w:tcW w:w="2880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无表彰但有校外媒体报道</w:t>
            </w:r>
          </w:p>
        </w:tc>
        <w:tc>
          <w:tcPr>
            <w:tcW w:w="2700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无表彰无校外媒体报道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68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评定</w:t>
            </w:r>
          </w:p>
        </w:tc>
        <w:tc>
          <w:tcPr>
            <w:tcW w:w="1260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1260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</w:t>
            </w:r>
          </w:p>
        </w:tc>
        <w:tc>
          <w:tcPr>
            <w:tcW w:w="2880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</w:t>
            </w:r>
          </w:p>
        </w:tc>
        <w:tc>
          <w:tcPr>
            <w:tcW w:w="2700" w:type="dxa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</w:t>
            </w:r>
          </w:p>
        </w:tc>
      </w:tr>
    </w:tbl>
    <w:p>
      <w:pPr>
        <w:spacing w:line="380" w:lineRule="atLeast"/>
        <w:rPr>
          <w:sz w:val="24"/>
        </w:rPr>
      </w:pP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20"/>
        <w:gridCol w:w="144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指导竞赛</w:t>
            </w:r>
          </w:p>
        </w:tc>
        <w:tc>
          <w:tcPr>
            <w:tcW w:w="2520" w:type="dxa"/>
          </w:tcPr>
          <w:p>
            <w:pPr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获省部级以上奖项</w:t>
            </w:r>
          </w:p>
        </w:tc>
        <w:tc>
          <w:tcPr>
            <w:tcW w:w="1440" w:type="dxa"/>
          </w:tcPr>
          <w:p>
            <w:pPr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市级奖项</w:t>
            </w:r>
          </w:p>
        </w:tc>
        <w:tc>
          <w:tcPr>
            <w:tcW w:w="1440" w:type="dxa"/>
          </w:tcPr>
          <w:p>
            <w:pPr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校级奖项</w:t>
            </w:r>
          </w:p>
        </w:tc>
        <w:tc>
          <w:tcPr>
            <w:tcW w:w="2700" w:type="dxa"/>
          </w:tcPr>
          <w:p>
            <w:pPr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68" w:type="dxa"/>
          </w:tcPr>
          <w:p>
            <w:pPr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评定</w:t>
            </w:r>
          </w:p>
        </w:tc>
        <w:tc>
          <w:tcPr>
            <w:tcW w:w="2520" w:type="dxa"/>
          </w:tcPr>
          <w:p>
            <w:pPr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0.5</w:t>
            </w:r>
          </w:p>
        </w:tc>
        <w:tc>
          <w:tcPr>
            <w:tcW w:w="1440" w:type="dxa"/>
          </w:tcPr>
          <w:p>
            <w:pPr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0.4</w:t>
            </w:r>
          </w:p>
        </w:tc>
        <w:tc>
          <w:tcPr>
            <w:tcW w:w="1440" w:type="dxa"/>
          </w:tcPr>
          <w:p>
            <w:pPr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0.3</w:t>
            </w:r>
          </w:p>
        </w:tc>
        <w:tc>
          <w:tcPr>
            <w:tcW w:w="2700" w:type="dxa"/>
          </w:tcPr>
          <w:p>
            <w:pPr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0.2</w:t>
            </w:r>
          </w:p>
        </w:tc>
      </w:tr>
    </w:tbl>
    <w:p>
      <w:pPr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注：该部分加分累加不超过1分</w:t>
      </w:r>
      <w:r>
        <w:rPr>
          <w:rFonts w:hint="eastAsia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由学校、学院统一组织是指：通知发布在西南交通大学官网、教务网、扬华素质网、研究生院网站和经济管理学院网站上，面向全体学生的。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学生工作表现（3.5分）</w:t>
      </w:r>
    </w:p>
    <w:p>
      <w:pPr>
        <w:spacing w:line="360" w:lineRule="auto"/>
        <w:ind w:left="359" w:leftChars="171" w:firstLine="480" w:firstLineChars="200"/>
        <w:rPr>
          <w:sz w:val="24"/>
        </w:rPr>
      </w:pPr>
      <w:r>
        <w:rPr>
          <w:rFonts w:hint="eastAsia"/>
          <w:sz w:val="24"/>
        </w:rPr>
        <w:t>学生工作表现是指在班级、党支部、学校（院）研究生会担任一定职务或担任干事的经济管理学院硕士生。未担任学生干部的硕士生无此项得分。</w:t>
      </w:r>
    </w:p>
    <w:p>
      <w:pPr>
        <w:spacing w:line="360" w:lineRule="auto"/>
        <w:ind w:left="359" w:leftChars="171" w:firstLine="480" w:firstLineChars="200"/>
        <w:jc w:val="left"/>
        <w:rPr>
          <w:sz w:val="24"/>
        </w:rPr>
      </w:pPr>
      <w:r>
        <w:rPr>
          <w:rFonts w:hint="eastAsia"/>
          <w:sz w:val="24"/>
        </w:rPr>
        <w:t>评定办法：学院研究生会主席团、学院研究生会部长、各班班长、党支部干部表现由学生工作组评定；班级其他干部由班长和学生工作组评定；学院研究生会干事由研究生会主席团和各部部长评定；校级学生干部的工作表现等级由学院辅导员和主管部门负责人确定，并签字盖章后有效。不同部门同时兼职只取最高分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干部工作加分最终分=基本分</w:t>
      </w:r>
      <w:r>
        <w:rPr>
          <w:rFonts w:ascii="宋体" w:hAnsi="宋体"/>
          <w:sz w:val="24"/>
        </w:rPr>
        <w:t>×</w:t>
      </w:r>
      <w:r>
        <w:rPr>
          <w:rFonts w:hint="eastAsia"/>
          <w:sz w:val="24"/>
        </w:rPr>
        <w:t>干部层次权重</w:t>
      </w:r>
      <w:r>
        <w:rPr>
          <w:rFonts w:ascii="宋体" w:hAnsi="宋体"/>
          <w:sz w:val="24"/>
        </w:rPr>
        <w:t>×</w:t>
      </w:r>
      <w:r>
        <w:rPr>
          <w:rFonts w:hint="eastAsia"/>
          <w:sz w:val="24"/>
        </w:rPr>
        <w:t>工作表现权重</w:t>
      </w:r>
      <w:r>
        <w:rPr>
          <w:rFonts w:ascii="宋体" w:hAnsi="宋体"/>
          <w:sz w:val="24"/>
        </w:rPr>
        <w:t>×</w:t>
      </w:r>
      <w:r>
        <w:rPr>
          <w:rFonts w:hint="eastAsia" w:ascii="宋体" w:hAnsi="宋体"/>
          <w:sz w:val="24"/>
        </w:rPr>
        <w:t>工作成绩</w:t>
      </w:r>
      <w:r>
        <w:rPr>
          <w:rFonts w:hint="eastAsia"/>
          <w:sz w:val="24"/>
        </w:rPr>
        <w:t>权重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1）干部层次权重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3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3" w:type="dxa"/>
            <w:vAlign w:val="center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干部层次</w:t>
            </w:r>
          </w:p>
        </w:tc>
        <w:tc>
          <w:tcPr>
            <w:tcW w:w="1759" w:type="dxa"/>
            <w:vAlign w:val="center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3" w:type="dxa"/>
            <w:vAlign w:val="center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校（院）研究生会主席（含副主席）</w:t>
            </w:r>
          </w:p>
        </w:tc>
        <w:tc>
          <w:tcPr>
            <w:tcW w:w="1759" w:type="dxa"/>
            <w:vAlign w:val="center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3" w:type="dxa"/>
            <w:vAlign w:val="center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班长、党支部书记、校（院）研究生会部长（不含副部长）</w:t>
            </w:r>
          </w:p>
        </w:tc>
        <w:tc>
          <w:tcPr>
            <w:tcW w:w="1759" w:type="dxa"/>
            <w:vAlign w:val="center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3" w:type="dxa"/>
            <w:vAlign w:val="center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班级其他干部，校（院）研究生会各部干事</w:t>
            </w:r>
          </w:p>
        </w:tc>
        <w:tc>
          <w:tcPr>
            <w:tcW w:w="1759" w:type="dxa"/>
            <w:vAlign w:val="center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40%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2）工作表现权重</w:t>
      </w:r>
    </w:p>
    <w:tbl>
      <w:tblPr>
        <w:tblStyle w:val="5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3367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>
            <w:pPr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等级</w:t>
            </w:r>
          </w:p>
        </w:tc>
        <w:tc>
          <w:tcPr>
            <w:tcW w:w="3367" w:type="dxa"/>
            <w:vAlign w:val="center"/>
          </w:tcPr>
          <w:p>
            <w:pPr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3780" w:type="dxa"/>
            <w:vAlign w:val="center"/>
          </w:tcPr>
          <w:p>
            <w:pPr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>
            <w:pPr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权重</w:t>
            </w:r>
          </w:p>
        </w:tc>
        <w:tc>
          <w:tcPr>
            <w:tcW w:w="3367" w:type="dxa"/>
            <w:vAlign w:val="center"/>
          </w:tcPr>
          <w:p>
            <w:pPr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100%</w:t>
            </w:r>
          </w:p>
        </w:tc>
        <w:tc>
          <w:tcPr>
            <w:tcW w:w="3780" w:type="dxa"/>
            <w:vAlign w:val="center"/>
          </w:tcPr>
          <w:p>
            <w:pPr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>
            <w:pPr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表现</w:t>
            </w:r>
          </w:p>
        </w:tc>
        <w:tc>
          <w:tcPr>
            <w:tcW w:w="3367" w:type="dxa"/>
            <w:vAlign w:val="center"/>
          </w:tcPr>
          <w:p>
            <w:pPr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</w:t>
            </w:r>
          </w:p>
        </w:tc>
        <w:tc>
          <w:tcPr>
            <w:tcW w:w="3780" w:type="dxa"/>
            <w:vAlign w:val="center"/>
          </w:tcPr>
          <w:p>
            <w:pPr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合格</w:t>
            </w:r>
          </w:p>
        </w:tc>
      </w:tr>
    </w:tbl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注：按照过去一年内的工作表现加分，若没有干满一学年，中途自行退出者，除身体原因或不可抗力的</w:t>
      </w:r>
      <w:r>
        <w:rPr>
          <w:rFonts w:hint="eastAsia"/>
          <w:color w:val="auto"/>
          <w:szCs w:val="21"/>
        </w:rPr>
        <w:t>原因外，均有0.5-1分的扣分惩罚，具体扣分值由学院学生工作组结合实</w:t>
      </w:r>
      <w:r>
        <w:rPr>
          <w:rFonts w:hint="eastAsia"/>
          <w:szCs w:val="21"/>
        </w:rPr>
        <w:t>际情况集体讨论决定。</w:t>
      </w:r>
    </w:p>
    <w:p>
      <w:pPr>
        <w:ind w:firstLine="420" w:firstLineChars="200"/>
        <w:rPr>
          <w:rFonts w:hint="eastAsia"/>
          <w:szCs w:val="21"/>
        </w:rPr>
      </w:pPr>
    </w:p>
    <w:p>
      <w:pPr>
        <w:spacing w:line="400" w:lineRule="atLeast"/>
        <w:ind w:firstLine="480" w:firstLineChars="200"/>
        <w:rPr>
          <w:rFonts w:ascii="仿宋_GB2312" w:hAnsi="宋体" w:eastAsia="仿宋_GB2312"/>
          <w:sz w:val="24"/>
        </w:rPr>
      </w:pPr>
    </w:p>
    <w:p>
      <w:pPr>
        <w:spacing w:line="400" w:lineRule="atLeas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本细则从2018年9月1日起执行</w:t>
      </w:r>
    </w:p>
    <w:p/>
    <w:p/>
    <w:p/>
    <w:p>
      <w:pPr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>经济管理学院</w:t>
      </w:r>
    </w:p>
    <w:p>
      <w:r>
        <w:rPr>
          <w:rFonts w:hint="eastAsia"/>
          <w:bCs/>
          <w:sz w:val="28"/>
          <w:szCs w:val="28"/>
        </w:rPr>
        <w:t xml:space="preserve">                                     二〇一七年十二月十二日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C7A"/>
    <w:multiLevelType w:val="multilevel"/>
    <w:tmpl w:val="03630C7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404EE7"/>
    <w:multiLevelType w:val="multilevel"/>
    <w:tmpl w:val="55404EE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EBA32FE"/>
    <w:multiLevelType w:val="singleLevel"/>
    <w:tmpl w:val="7EBA32F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34709"/>
    <w:rsid w:val="70A76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4">
    <w:name w:val="annotation reference"/>
    <w:basedOn w:val="3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2018-05-09T01:02:27Z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